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E8A33C"/>
          <w:sz w:val="56"/>
        </w:rPr>
        <w:t>CYBERSECURITY GRC PROFESSIONAL</w:t>
      </w:r>
    </w:p>
    <w:p>
      <w:pPr>
        <w:pStyle w:val="Heading1"/>
        <w:jc w:val="center"/>
      </w:pPr>
      <w:r>
        <w:rPr>
          <w:color w:val="646464"/>
          <w:sz w:val="44"/>
        </w:rPr>
        <w:t>High School Program</w:t>
      </w:r>
    </w:p>
    <w:p/>
    <w:p>
      <w:pPr>
        <w:jc w:val="center"/>
      </w:pPr>
      <w:r>
        <w:rPr>
          <w:b/>
          <w:color w:val="323232"/>
          <w:sz w:val="36"/>
        </w:rPr>
        <w:t>School Counselor &amp; Administrator Information Packet</w:t>
      </w:r>
    </w:p>
    <w:p/>
    <w:p/>
    <w:p>
      <w:pPr>
        <w:jc w:val="center"/>
      </w:pPr>
      <w:r>
        <w:rPr>
          <w:b/>
          <w:sz w:val="28"/>
        </w:rPr>
        <w:t>Lionfish Cyber Security</w:t>
        <w:br/>
      </w:r>
      <w:r>
        <w:rPr>
          <w:sz w:val="24"/>
        </w:rPr>
        <w:t>3815 River Crossing Pkwy Suite 100</w:t>
        <w:br/>
      </w:r>
      <w:r>
        <w:rPr>
          <w:sz w:val="24"/>
        </w:rPr>
        <w:t>Indianapolis, IN 46240</w:t>
        <w:br/>
      </w:r>
      <w:r>
        <w:rPr>
          <w:sz w:val="24"/>
        </w:rPr>
        <w:t>1-877-732-6772</w:t>
        <w:br/>
      </w:r>
      <w:r>
        <w:rPr>
          <w:color w:val="E8A33C"/>
          <w:sz w:val="24"/>
        </w:rPr>
        <w:t>www.lionfishcybersecurity.com</w:t>
      </w:r>
    </w:p>
    <w:p>
      <w:r>
        <w:br w:type="page"/>
      </w:r>
    </w:p>
    <w:p>
      <w:pPr>
        <w:pStyle w:val="Heading1"/>
      </w:pPr>
      <w:r>
        <w:rPr>
          <w:color w:val="E8A33C"/>
        </w:rPr>
        <w:t>Executive Summary</w:t>
      </w:r>
    </w:p>
    <w:p>
      <w:r>
        <w:rPr>
          <w:b/>
        </w:rPr>
        <w:t xml:space="preserve">The Cybersecurity GRC (Governance, Risk, and Compliance) Professional Program </w:t>
      </w:r>
      <w:r>
        <w:t>is a comprehensive high school training initiative designed to prepare students for careers in one of the fastest-growing sectors of the cybersecurity industry. This program provides students with professional-level training, real-world experience through simulated internships, and industry-recognized credentials—all at no cost through Indiana's Career Scholarship Account (CSA) grant.</w:t>
      </w:r>
    </w:p>
    <w:p/>
    <w:tbl>
      <w:tblPr>
        <w:tblStyle w:val="TableGrid"/>
        <w:tblW w:type="auto" w:w="0"/>
        <w:tblLook w:firstColumn="1" w:firstRow="1" w:lastColumn="0" w:lastRow="0" w:noHBand="0" w:noVBand="1" w:val="04A0"/>
      </w:tblPr>
      <w:tblGrid>
        <w:gridCol w:w="5040"/>
        <w:gridCol w:w="5040"/>
      </w:tblGrid>
      <w:tr>
        <w:tc>
          <w:tcPr>
            <w:tcW w:type="dxa" w:w="5040"/>
            <w:shd w:fill="E8A33C"/>
          </w:tcPr>
          <w:p>
            <w:r>
              <w:rPr>
                <w:b/>
                <w:color w:val="000000"/>
              </w:rPr>
              <w:t>100% Funded</w:t>
            </w:r>
          </w:p>
        </w:tc>
        <w:tc>
          <w:tcPr>
            <w:tcW w:type="dxa" w:w="5040"/>
          </w:tcPr>
          <w:p>
            <w:r>
              <w:t>Up to $5,000 CSA grant covers all program costs</w:t>
            </w:r>
          </w:p>
        </w:tc>
      </w:tr>
      <w:tr>
        <w:tc>
          <w:tcPr>
            <w:tcW w:type="dxa" w:w="5040"/>
            <w:shd w:fill="E8A33C"/>
          </w:tcPr>
          <w:p>
            <w:r>
              <w:rPr>
                <w:b/>
                <w:color w:val="000000"/>
              </w:rPr>
              <w:t>80 Program Hours</w:t>
            </w:r>
          </w:p>
        </w:tc>
        <w:tc>
          <w:tcPr>
            <w:tcW w:type="dxa" w:w="5040"/>
          </w:tcPr>
          <w:p>
            <w:r>
              <w:t>Comprehensive training over one semester</w:t>
            </w:r>
          </w:p>
        </w:tc>
      </w:tr>
      <w:tr>
        <w:tc>
          <w:tcPr>
            <w:tcW w:type="dxa" w:w="5040"/>
            <w:shd w:fill="E8A33C"/>
          </w:tcPr>
          <w:p>
            <w:r>
              <w:rPr>
                <w:b/>
                <w:color w:val="000000"/>
              </w:rPr>
              <w:t>24-Hour Internship</w:t>
            </w:r>
          </w:p>
        </w:tc>
        <w:tc>
          <w:tcPr>
            <w:tcW w:type="dxa" w:w="5040"/>
          </w:tcPr>
          <w:p>
            <w:r>
              <w:t>Real-world experience with simulated clients</w:t>
            </w:r>
          </w:p>
        </w:tc>
      </w:tr>
      <w:tr>
        <w:tc>
          <w:tcPr>
            <w:tcW w:type="dxa" w:w="5040"/>
            <w:shd w:fill="E8A33C"/>
          </w:tcPr>
          <w:p>
            <w:r>
              <w:rPr>
                <w:b/>
                <w:color w:val="000000"/>
              </w:rPr>
              <w:t>Professional Training</w:t>
            </w:r>
          </w:p>
        </w:tc>
        <w:tc>
          <w:tcPr>
            <w:tcW w:type="dxa" w:w="5040"/>
          </w:tcPr>
          <w:p>
            <w:r>
              <w:t>Industry-standard GRC methodology</w:t>
            </w:r>
          </w:p>
        </w:tc>
      </w:tr>
      <w:tr>
        <w:tc>
          <w:tcPr>
            <w:tcW w:type="dxa" w:w="5040"/>
            <w:shd w:fill="E8A33C"/>
          </w:tcPr>
          <w:p>
            <w:r>
              <w:rPr>
                <w:b/>
                <w:color w:val="000000"/>
              </w:rPr>
              <w:t>Career Ready</w:t>
            </w:r>
          </w:p>
        </w:tc>
        <w:tc>
          <w:tcPr>
            <w:tcW w:type="dxa" w:w="5040"/>
          </w:tcPr>
          <w:p>
            <w:r>
              <w:t>Direct pathway to $65,000+ entry-level positions</w:t>
            </w:r>
          </w:p>
        </w:tc>
      </w:tr>
    </w:tbl>
    <w:p/>
    <w:p>
      <w:pPr>
        <w:pStyle w:val="Heading1"/>
      </w:pPr>
      <w:r>
        <w:rPr>
          <w:color w:val="E8A33C"/>
        </w:rPr>
        <w:t>Why This Program Matters for Your Students</w:t>
      </w:r>
    </w:p>
    <w:p>
      <w:r>
        <w:rPr>
          <w:b/>
        </w:rPr>
        <w:t xml:space="preserve">The cybersecurity compliance industry faces a critical workforce shortage. </w:t>
      </w:r>
      <w:r>
        <w:t>According to industry reports, there are over 750,000 unfilled cybersecurity positions in the United States alone, with compliance and GRC roles among the most in-demand. This program positions your students at the forefront of this opportunity.</w:t>
      </w:r>
    </w:p>
    <w:p/>
    <w:p>
      <w:r>
        <w:rPr>
          <w:b/>
        </w:rPr>
        <w:t xml:space="preserve">Career Versatility: </w:t>
      </w:r>
      <w:r>
        <w:t>While focused on cybersecurity, the governance, risk, and compliance skills taught in this program are transferable across virtually every industry. Healthcare, finance, manufacturing, government, and technology sectors all require GRC professionals. Students gain skills applicable to any career path they choose.</w:t>
      </w:r>
    </w:p>
    <w:p/>
    <w:p>
      <w:pPr>
        <w:pStyle w:val="Heading1"/>
      </w:pPr>
      <w:r>
        <w:rPr>
          <w:color w:val="E8A33C"/>
        </w:rPr>
        <w:t>Program Structure</w:t>
      </w:r>
    </w:p>
    <w:p>
      <w:r>
        <w:rPr>
          <w:b/>
        </w:rPr>
        <w:t xml:space="preserve">Duration: </w:t>
      </w:r>
      <w:r>
        <w:t>One semester (approximately 4 months)</w:t>
      </w:r>
    </w:p>
    <w:p>
      <w:r>
        <w:rPr>
          <w:b/>
        </w:rPr>
        <w:t xml:space="preserve">Schedule: </w:t>
      </w:r>
      <w:r>
        <w:t>3 sessions per week, 1-3 PM (virtual delivery available)</w:t>
      </w:r>
    </w:p>
    <w:p>
      <w:r>
        <w:rPr>
          <w:b/>
        </w:rPr>
        <w:t xml:space="preserve">Total Hours: </w:t>
      </w:r>
      <w:r>
        <w:t>80 instructional hours + 24 internship hours</w:t>
      </w:r>
    </w:p>
    <w:p/>
    <w:p>
      <w:pPr>
        <w:pStyle w:val="Heading2"/>
      </w:pPr>
      <w:r>
        <w:rPr>
          <w:color w:val="E8A33C"/>
        </w:rPr>
        <w:t>Curriculum Overview</w:t>
      </w:r>
    </w:p>
    <w:tbl>
      <w:tblPr>
        <w:tblStyle w:val="TableGrid"/>
        <w:tblW w:type="auto" w:w="0"/>
        <w:tblLook w:firstColumn="1" w:firstRow="1" w:lastColumn="0" w:lastRow="0" w:noHBand="0" w:noVBand="1" w:val="04A0"/>
      </w:tblPr>
      <w:tblGrid>
        <w:gridCol w:w="3360"/>
        <w:gridCol w:w="3360"/>
        <w:gridCol w:w="3360"/>
      </w:tblGrid>
      <w:tr>
        <w:tc>
          <w:tcPr>
            <w:tcW w:type="dxa" w:w="3360"/>
            <w:shd w:fill="1A1A1A"/>
          </w:tcPr>
          <w:p>
            <w:r>
              <w:rPr>
                <w:b/>
                <w:color w:val="E8A33C"/>
              </w:rPr>
              <w:t>Module</w:t>
            </w:r>
          </w:p>
        </w:tc>
        <w:tc>
          <w:tcPr>
            <w:tcW w:type="dxa" w:w="3360"/>
            <w:shd w:fill="1A1A1A"/>
          </w:tcPr>
          <w:p>
            <w:r>
              <w:rPr>
                <w:b/>
                <w:color w:val="E8A33C"/>
              </w:rPr>
              <w:t>Hours</w:t>
            </w:r>
          </w:p>
        </w:tc>
        <w:tc>
          <w:tcPr>
            <w:tcW w:type="dxa" w:w="3360"/>
            <w:shd w:fill="1A1A1A"/>
          </w:tcPr>
          <w:p>
            <w:r>
              <w:rPr>
                <w:b/>
                <w:color w:val="E8A33C"/>
              </w:rPr>
              <w:t>Description</w:t>
            </w:r>
          </w:p>
        </w:tc>
      </w:tr>
      <w:tr>
        <w:tc>
          <w:tcPr>
            <w:tcW w:type="dxa" w:w="3360"/>
          </w:tcPr>
          <w:p>
            <w:r>
              <w:t>Module 1: GRC Foundations</w:t>
            </w:r>
          </w:p>
        </w:tc>
        <w:tc>
          <w:tcPr>
            <w:tcW w:type="dxa" w:w="3360"/>
          </w:tcPr>
          <w:p>
            <w:r>
              <w:t>12 hours</w:t>
            </w:r>
          </w:p>
        </w:tc>
        <w:tc>
          <w:tcPr>
            <w:tcW w:type="dxa" w:w="3360"/>
          </w:tcPr>
          <w:p>
            <w:r>
              <w:t>Introduction to governance, risk management, and compliance principles</w:t>
            </w:r>
          </w:p>
        </w:tc>
      </w:tr>
      <w:tr>
        <w:tc>
          <w:tcPr>
            <w:tcW w:type="dxa" w:w="3360"/>
          </w:tcPr>
          <w:p>
            <w:r>
              <w:t>Module 2: Cybersecurity Frameworks</w:t>
            </w:r>
          </w:p>
        </w:tc>
        <w:tc>
          <w:tcPr>
            <w:tcW w:type="dxa" w:w="3360"/>
          </w:tcPr>
          <w:p>
            <w:r>
              <w:t>14 hours</w:t>
            </w:r>
          </w:p>
        </w:tc>
        <w:tc>
          <w:tcPr>
            <w:tcW w:type="dxa" w:w="3360"/>
          </w:tcPr>
          <w:p>
            <w:r>
              <w:t>NIST, ISO 27001, and industry-standard frameworks</w:t>
            </w:r>
          </w:p>
        </w:tc>
      </w:tr>
      <w:tr>
        <w:tc>
          <w:tcPr>
            <w:tcW w:type="dxa" w:w="3360"/>
          </w:tcPr>
          <w:p>
            <w:r>
              <w:t>Module 3: Risk Assessment</w:t>
            </w:r>
          </w:p>
        </w:tc>
        <w:tc>
          <w:tcPr>
            <w:tcW w:type="dxa" w:w="3360"/>
          </w:tcPr>
          <w:p>
            <w:r>
              <w:t>14 hours</w:t>
            </w:r>
          </w:p>
        </w:tc>
        <w:tc>
          <w:tcPr>
            <w:tcW w:type="dxa" w:w="3360"/>
          </w:tcPr>
          <w:p>
            <w:r>
              <w:t>Identifying, analyzing, and prioritizing organizational risks</w:t>
            </w:r>
          </w:p>
        </w:tc>
      </w:tr>
      <w:tr>
        <w:tc>
          <w:tcPr>
            <w:tcW w:type="dxa" w:w="3360"/>
          </w:tcPr>
          <w:p>
            <w:r>
              <w:t>Module 4: Compliance Management</w:t>
            </w:r>
          </w:p>
        </w:tc>
        <w:tc>
          <w:tcPr>
            <w:tcW w:type="dxa" w:w="3360"/>
          </w:tcPr>
          <w:p>
            <w:r>
              <w:t>14 hours</w:t>
            </w:r>
          </w:p>
        </w:tc>
        <w:tc>
          <w:tcPr>
            <w:tcW w:type="dxa" w:w="3360"/>
          </w:tcPr>
          <w:p>
            <w:r>
              <w:t>Regulatory requirements and compliance monitoring</w:t>
            </w:r>
          </w:p>
        </w:tc>
      </w:tr>
      <w:tr>
        <w:tc>
          <w:tcPr>
            <w:tcW w:type="dxa" w:w="3360"/>
          </w:tcPr>
          <w:p>
            <w:r>
              <w:t>Module 5: Security Controls</w:t>
            </w:r>
          </w:p>
        </w:tc>
        <w:tc>
          <w:tcPr>
            <w:tcW w:type="dxa" w:w="3360"/>
          </w:tcPr>
          <w:p>
            <w:r>
              <w:t>14 hours</w:t>
            </w:r>
          </w:p>
        </w:tc>
        <w:tc>
          <w:tcPr>
            <w:tcW w:type="dxa" w:w="3360"/>
          </w:tcPr>
          <w:p>
            <w:r>
              <w:t>Implementing and documenting security measures</w:t>
            </w:r>
          </w:p>
        </w:tc>
      </w:tr>
      <w:tr>
        <w:tc>
          <w:tcPr>
            <w:tcW w:type="dxa" w:w="3360"/>
          </w:tcPr>
          <w:p>
            <w:r>
              <w:t>Module 6: Professional Practice</w:t>
            </w:r>
          </w:p>
        </w:tc>
        <w:tc>
          <w:tcPr>
            <w:tcW w:type="dxa" w:w="3360"/>
          </w:tcPr>
          <w:p>
            <w:r>
              <w:t>12 hours</w:t>
            </w:r>
          </w:p>
        </w:tc>
        <w:tc>
          <w:tcPr>
            <w:tcW w:type="dxa" w:w="3360"/>
          </w:tcPr>
          <w:p>
            <w:r>
              <w:t>Communication, documentation, and career preparation</w:t>
            </w:r>
          </w:p>
        </w:tc>
      </w:tr>
    </w:tbl>
    <w:p/>
    <w:p>
      <w:pPr>
        <w:pStyle w:val="Heading1"/>
      </w:pPr>
      <w:r>
        <w:rPr>
          <w:color w:val="E8A33C"/>
        </w:rPr>
        <w:t>Simulated Internship Experience</w:t>
      </w:r>
    </w:p>
    <w:p>
      <w:r>
        <w:rPr>
          <w:b/>
        </w:rPr>
        <w:t xml:space="preserve">A unique feature of this program is the 24-hour simulated internship, </w:t>
      </w:r>
      <w:r>
        <w:t>where students work with realistic client scenarios across three critical sectors:</w:t>
      </w:r>
    </w:p>
    <w:p/>
    <w:p>
      <w:r>
        <w:rPr>
          <w:b/>
        </w:rPr>
        <w:t xml:space="preserve">Local Government: </w:t>
      </w:r>
      <w:r>
        <w:t>Students help a fictional city government assess cybersecurity risks and develop compliance documentation for protecting citizen data and critical municipal systems.</w:t>
      </w:r>
    </w:p>
    <w:p>
      <w:r>
        <w:rPr>
          <w:b/>
        </w:rPr>
        <w:t xml:space="preserve">Critical Infrastructure: </w:t>
      </w:r>
      <w:r>
        <w:t>Working with simulated water and electricity utilities, students learn to evaluate security controls protecting essential services that communities depend on.</w:t>
      </w:r>
    </w:p>
    <w:p>
      <w:r>
        <w:rPr>
          <w:b/>
        </w:rPr>
        <w:t xml:space="preserve">Small &amp; Medium Businesses: </w:t>
      </w:r>
      <w:r>
        <w:t>Students assist fictional SMBs in understanding compliance requirements, conducting risk assessments, and implementing appropriate security measures.</w:t>
      </w:r>
    </w:p>
    <w:p/>
    <w:p>
      <w:pPr>
        <w:pStyle w:val="Heading1"/>
      </w:pPr>
      <w:r>
        <w:rPr>
          <w:color w:val="E8A33C"/>
        </w:rPr>
        <w:t>CSA Grant Information for Counselors</w:t>
      </w:r>
    </w:p>
    <w:p>
      <w:r>
        <w:rPr>
          <w:b/>
        </w:rPr>
        <w:t xml:space="preserve">This program is fully funded through Indiana's Career Scholarship Account (CSA) grant. </w:t>
      </w:r>
      <w:r>
        <w:t>Here's what counselors need to know:</w:t>
      </w:r>
    </w:p>
    <w:p/>
    <w:p>
      <w:r>
        <w:rPr>
          <w:b/>
        </w:rPr>
        <w:t xml:space="preserve">Eligibility: </w:t>
      </w:r>
      <w:r>
        <w:t>Indiana high school students in grades 9-12</w:t>
      </w:r>
    </w:p>
    <w:p>
      <w:r>
        <w:rPr>
          <w:b/>
        </w:rPr>
        <w:t xml:space="preserve">Grant Amount: </w:t>
      </w:r>
      <w:r>
        <w:t>Up to $5,000 per student</w:t>
      </w:r>
    </w:p>
    <w:p>
      <w:r>
        <w:rPr>
          <w:b/>
        </w:rPr>
        <w:t xml:space="preserve">Application Window: </w:t>
      </w:r>
      <w:r>
        <w:t>March 1 - October 1 (funds distributed quarterly)</w:t>
      </w:r>
    </w:p>
    <w:p>
      <w:r>
        <w:rPr>
          <w:b/>
        </w:rPr>
        <w:t xml:space="preserve">Important: </w:t>
      </w:r>
      <w:r>
        <w:rPr>
          <w:color w:val="C83232"/>
        </w:rPr>
        <w:t>CSA funds are limited and distributed on a first-come, first-served basis. Early enrollment is strongly recommended.</w:t>
      </w:r>
    </w:p>
    <w:p/>
    <w:p>
      <w:pPr>
        <w:pStyle w:val="Heading2"/>
      </w:pPr>
      <w:r>
        <w:rPr>
          <w:color w:val="E8A33C"/>
        </w:rPr>
        <w:t>CSA Funding Timeline</w:t>
      </w:r>
    </w:p>
    <w:tbl>
      <w:tblPr>
        <w:tblStyle w:val="TableGrid"/>
        <w:tblW w:type="auto" w:w="0"/>
        <w:tblLook w:firstColumn="1" w:firstRow="1" w:lastColumn="0" w:lastRow="0" w:noHBand="0" w:noVBand="1" w:val="04A0"/>
      </w:tblPr>
      <w:tblGrid>
        <w:gridCol w:w="5040"/>
        <w:gridCol w:w="5040"/>
      </w:tblGrid>
      <w:tr>
        <w:tc>
          <w:tcPr>
            <w:tcW w:type="dxa" w:w="5040"/>
            <w:shd w:fill="E8A33C"/>
          </w:tcPr>
          <w:p>
            <w:r>
              <w:rPr>
                <w:b/>
              </w:rPr>
              <w:t>March 1</w:t>
            </w:r>
          </w:p>
        </w:tc>
        <w:tc>
          <w:tcPr>
            <w:tcW w:type="dxa" w:w="5040"/>
          </w:tcPr>
          <w:p>
            <w:r>
              <w:t>Application window opens</w:t>
            </w:r>
          </w:p>
        </w:tc>
      </w:tr>
      <w:tr>
        <w:tc>
          <w:tcPr>
            <w:tcW w:type="dxa" w:w="5040"/>
            <w:shd w:fill="E8A33C"/>
          </w:tcPr>
          <w:p>
            <w:r>
              <w:rPr>
                <w:b/>
              </w:rPr>
              <w:t>April 1</w:t>
            </w:r>
          </w:p>
        </w:tc>
        <w:tc>
          <w:tcPr>
            <w:tcW w:type="dxa" w:w="5040"/>
          </w:tcPr>
          <w:p>
            <w:r>
              <w:t>First quarterly disbursement</w:t>
            </w:r>
          </w:p>
        </w:tc>
      </w:tr>
      <w:tr>
        <w:tc>
          <w:tcPr>
            <w:tcW w:type="dxa" w:w="5040"/>
            <w:shd w:fill="E8A33C"/>
          </w:tcPr>
          <w:p>
            <w:r>
              <w:rPr>
                <w:b/>
              </w:rPr>
              <w:t>July 1</w:t>
            </w:r>
          </w:p>
        </w:tc>
        <w:tc>
          <w:tcPr>
            <w:tcW w:type="dxa" w:w="5040"/>
          </w:tcPr>
          <w:p>
            <w:r>
              <w:t>Second quarterly disbursement</w:t>
            </w:r>
          </w:p>
        </w:tc>
      </w:tr>
      <w:tr>
        <w:tc>
          <w:tcPr>
            <w:tcW w:type="dxa" w:w="5040"/>
            <w:shd w:fill="E8A33C"/>
          </w:tcPr>
          <w:p>
            <w:r>
              <w:rPr>
                <w:b/>
              </w:rPr>
              <w:t>October 1</w:t>
            </w:r>
          </w:p>
        </w:tc>
        <w:tc>
          <w:tcPr>
            <w:tcW w:type="dxa" w:w="5040"/>
          </w:tcPr>
          <w:p>
            <w:r>
              <w:t>Application window closes / Third disbursement</w:t>
            </w:r>
          </w:p>
        </w:tc>
      </w:tr>
      <w:tr>
        <w:tc>
          <w:tcPr>
            <w:tcW w:type="dxa" w:w="5040"/>
            <w:shd w:fill="E8A33C"/>
          </w:tcPr>
          <w:p>
            <w:r>
              <w:rPr>
                <w:b/>
              </w:rPr>
              <w:t>January 1</w:t>
            </w:r>
          </w:p>
        </w:tc>
        <w:tc>
          <w:tcPr>
            <w:tcW w:type="dxa" w:w="5040"/>
          </w:tcPr>
          <w:p>
            <w:r>
              <w:t>Fourth quarterly disbursement</w:t>
            </w:r>
          </w:p>
        </w:tc>
      </w:tr>
    </w:tbl>
    <w:p/>
    <w:p>
      <w:pPr>
        <w:pStyle w:val="Heading1"/>
      </w:pPr>
      <w:r>
        <w:rPr>
          <w:color w:val="E8A33C"/>
        </w:rPr>
        <w:t>Career Outcomes</w:t>
      </w:r>
    </w:p>
    <w:p>
      <w:r>
        <w:t>Graduates of this program are prepared for entry-level positions in:</w:t>
      </w:r>
    </w:p>
    <w:tbl>
      <w:tblPr>
        <w:tblStyle w:val="TableGrid"/>
        <w:tblW w:type="auto" w:w="0"/>
        <w:tblLook w:firstColumn="1" w:firstRow="1" w:lastColumn="0" w:lastRow="0" w:noHBand="0" w:noVBand="1" w:val="04A0"/>
      </w:tblPr>
      <w:tblGrid>
        <w:gridCol w:w="5040"/>
        <w:gridCol w:w="5040"/>
      </w:tblGrid>
      <w:tr>
        <w:tc>
          <w:tcPr>
            <w:tcW w:type="dxa" w:w="5040"/>
            <w:shd w:fill="1A1A1A"/>
          </w:tcPr>
          <w:p>
            <w:r>
              <w:rPr>
                <w:b/>
                <w:color w:val="E8A33C"/>
              </w:rPr>
              <w:t>Position</w:t>
            </w:r>
          </w:p>
        </w:tc>
        <w:tc>
          <w:tcPr>
            <w:tcW w:type="dxa" w:w="5040"/>
            <w:shd w:fill="1A1A1A"/>
          </w:tcPr>
          <w:p>
            <w:r>
              <w:rPr>
                <w:b/>
                <w:color w:val="E8A33C"/>
              </w:rPr>
              <w:t>Salary Range</w:t>
            </w:r>
          </w:p>
        </w:tc>
      </w:tr>
      <w:tr>
        <w:tc>
          <w:tcPr>
            <w:tcW w:type="dxa" w:w="5040"/>
          </w:tcPr>
          <w:p>
            <w:r>
              <w:t>GRC Analyst</w:t>
            </w:r>
          </w:p>
        </w:tc>
        <w:tc>
          <w:tcPr>
            <w:tcW w:type="dxa" w:w="5040"/>
          </w:tcPr>
          <w:p>
            <w:r>
              <w:t>$55,000 - $75,000</w:t>
            </w:r>
          </w:p>
        </w:tc>
      </w:tr>
      <w:tr>
        <w:tc>
          <w:tcPr>
            <w:tcW w:type="dxa" w:w="5040"/>
          </w:tcPr>
          <w:p>
            <w:r>
              <w:t>Compliance Coordinator</w:t>
            </w:r>
          </w:p>
        </w:tc>
        <w:tc>
          <w:tcPr>
            <w:tcW w:type="dxa" w:w="5040"/>
          </w:tcPr>
          <w:p>
            <w:r>
              <w:t>$50,000 - $70,000</w:t>
            </w:r>
          </w:p>
        </w:tc>
      </w:tr>
      <w:tr>
        <w:tc>
          <w:tcPr>
            <w:tcW w:type="dxa" w:w="5040"/>
          </w:tcPr>
          <w:p>
            <w:r>
              <w:t>Security Compliance Specialist</w:t>
            </w:r>
          </w:p>
        </w:tc>
        <w:tc>
          <w:tcPr>
            <w:tcW w:type="dxa" w:w="5040"/>
          </w:tcPr>
          <w:p>
            <w:r>
              <w:t>$60,000 - $80,000</w:t>
            </w:r>
          </w:p>
        </w:tc>
      </w:tr>
      <w:tr>
        <w:tc>
          <w:tcPr>
            <w:tcW w:type="dxa" w:w="5040"/>
          </w:tcPr>
          <w:p>
            <w:r>
              <w:t>Risk Assessment Analyst</w:t>
            </w:r>
          </w:p>
        </w:tc>
        <w:tc>
          <w:tcPr>
            <w:tcW w:type="dxa" w:w="5040"/>
          </w:tcPr>
          <w:p>
            <w:r>
              <w:t>$55,000 - $75,000</w:t>
            </w:r>
          </w:p>
        </w:tc>
      </w:tr>
      <w:tr>
        <w:tc>
          <w:tcPr>
            <w:tcW w:type="dxa" w:w="5040"/>
          </w:tcPr>
          <w:p>
            <w:r>
              <w:t>IT Auditor (Entry Level)</w:t>
            </w:r>
          </w:p>
        </w:tc>
        <w:tc>
          <w:tcPr>
            <w:tcW w:type="dxa" w:w="5040"/>
          </w:tcPr>
          <w:p>
            <w:r>
              <w:t>$50,000 - $70,000</w:t>
            </w:r>
          </w:p>
        </w:tc>
      </w:tr>
    </w:tbl>
    <w:p/>
    <w:p>
      <w:pPr>
        <w:pStyle w:val="Heading1"/>
      </w:pPr>
      <w:r>
        <w:rPr>
          <w:color w:val="E8A33C"/>
        </w:rPr>
        <w:t>How to Enroll Students</w:t>
      </w:r>
    </w:p>
    <w:p>
      <w:r>
        <w:rPr>
          <w:b/>
        </w:rPr>
        <w:t xml:space="preserve">Step 1: </w:t>
      </w:r>
      <w:r>
        <w:t>Contact Lionfish Cyber Security at 1-877-732-6772 or visit our website</w:t>
      </w:r>
    </w:p>
    <w:p>
      <w:r>
        <w:rPr>
          <w:b/>
        </w:rPr>
        <w:t xml:space="preserve">Step 2: </w:t>
      </w:r>
      <w:r>
        <w:t>Complete the CSA grant application with the student and parent/guardian</w:t>
      </w:r>
    </w:p>
    <w:p>
      <w:r>
        <w:rPr>
          <w:b/>
        </w:rPr>
        <w:t xml:space="preserve">Step 3: </w:t>
      </w:r>
      <w:r>
        <w:t>Submit required documentation (proof of enrollment, parent consent)</w:t>
      </w:r>
    </w:p>
    <w:p>
      <w:r>
        <w:rPr>
          <w:b/>
        </w:rPr>
        <w:t xml:space="preserve">Step 4: </w:t>
      </w:r>
      <w:r>
        <w:t>Receive confirmation of CSA funding approval</w:t>
      </w:r>
    </w:p>
    <w:p>
      <w:r>
        <w:rPr>
          <w:b/>
        </w:rPr>
        <w:t xml:space="preserve">Step 5: </w:t>
      </w:r>
      <w:r>
        <w:t>Student begins program at next available cohort start date</w:t>
      </w:r>
    </w:p>
    <w:p/>
    <w:p>
      <w:pPr>
        <w:pStyle w:val="Heading1"/>
      </w:pPr>
      <w:r>
        <w:rPr>
          <w:color w:val="E8A33C"/>
        </w:rPr>
        <w:t>Support for Schools</w:t>
      </w:r>
    </w:p>
    <w:p>
      <w:r>
        <w:t>Lionfish Cyber Security provides comprehensive support for partnering schools:</w:t>
      </w:r>
    </w:p>
    <w:p/>
    <w:p>
      <w:pPr>
        <w:pStyle w:val="ListBullet"/>
      </w:pPr>
      <w:r>
        <w:t>Dedicated school liaison for enrollment assistance</w:t>
      </w:r>
    </w:p>
    <w:p>
      <w:pPr>
        <w:pStyle w:val="ListBullet"/>
      </w:pPr>
      <w:r>
        <w:t>Parent information sessions (virtual or in-person)</w:t>
      </w:r>
    </w:p>
    <w:p>
      <w:pPr>
        <w:pStyle w:val="ListBullet"/>
      </w:pPr>
      <w:r>
        <w:t>Progress reports for counselors and administrators</w:t>
      </w:r>
    </w:p>
    <w:p>
      <w:pPr>
        <w:pStyle w:val="ListBullet"/>
      </w:pPr>
      <w:r>
        <w:t>Career day presentations and guest speakers</w:t>
      </w:r>
    </w:p>
    <w:p>
      <w:pPr>
        <w:pStyle w:val="ListBullet"/>
      </w:pPr>
      <w:r>
        <w:t>Alignment documentation for CTE pathways</w:t>
      </w:r>
    </w:p>
    <w:p/>
    <w:p>
      <w:pPr>
        <w:pStyle w:val="Heading1"/>
      </w:pPr>
      <w:r>
        <w:rPr>
          <w:color w:val="E8A33C"/>
        </w:rPr>
        <w:t>What Students Are Saying</w:t>
      </w:r>
    </w:p>
    <w:p>
      <w:r>
        <w:rPr>
          <w:i/>
        </w:rPr>
        <w:t>"This experience was truly life-changing. It taught me about compliance and helped me pass my certification exam."</w:t>
      </w:r>
    </w:p>
    <w:p>
      <w:r>
        <w:rPr>
          <w:color w:val="646464"/>
          <w:sz w:val="20"/>
        </w:rPr>
        <w:t>— Mohamed, NOVA Program Graduate</w:t>
      </w:r>
    </w:p>
    <w:p/>
    <w:p>
      <w:r>
        <w:rPr>
          <w:i/>
        </w:rPr>
        <w:t>"The internship opened my eyes to the world of possibilities within the cybersecurity ecosystem."</w:t>
      </w:r>
    </w:p>
    <w:p>
      <w:r>
        <w:rPr>
          <w:color w:val="646464"/>
          <w:sz w:val="20"/>
        </w:rPr>
        <w:t>— Ian Velazquez, Program Graduate</w:t>
      </w:r>
    </w:p>
    <w:p/>
    <w:p>
      <w:r>
        <w:rPr>
          <w:i/>
        </w:rPr>
        <w:t>"The training added valuable information and knowledge to the technical skills I learned in school."</w:t>
      </w:r>
    </w:p>
    <w:p>
      <w:r>
        <w:rPr>
          <w:color w:val="646464"/>
          <w:sz w:val="20"/>
        </w:rPr>
        <w:t>— Warda Dagistan, Program Graduate</w:t>
      </w:r>
    </w:p>
    <w:p/>
    <w:p>
      <w:pPr>
        <w:pStyle w:val="Heading1"/>
      </w:pPr>
      <w:r>
        <w:rPr>
          <w:color w:val="E8A33C"/>
        </w:rPr>
        <w:t>Ready to Get Started?</w:t>
      </w:r>
    </w:p>
    <w:p>
      <w:r>
        <w:t>Contact us today to learn more about bringing this program to your students:</w:t>
      </w:r>
    </w:p>
    <w:p/>
    <w:p>
      <w:pPr>
        <w:jc w:val="center"/>
      </w:pPr>
      <w:r>
        <w:rPr>
          <w:b/>
          <w:sz w:val="28"/>
        </w:rPr>
        <w:t>Lionfish Cyber Security</w:t>
        <w:br/>
      </w:r>
      <w:r>
        <w:rPr>
          <w:sz w:val="24"/>
        </w:rPr>
        <w:t>1-877-732-6772</w:t>
        <w:br/>
      </w:r>
      <w:r>
        <w:rPr>
          <w:sz w:val="24"/>
        </w:rPr>
        <w:t>3815 River Crossing Pkwy Suite 100</w:t>
        <w:br/>
      </w:r>
      <w:r>
        <w:rPr>
          <w:sz w:val="24"/>
        </w:rPr>
        <w:t>Indianapolis, IN 46240</w:t>
        <w:br/>
      </w:r>
      <w:r>
        <w:rPr>
          <w:color w:val="E8A33C"/>
          <w:sz w:val="24"/>
        </w:rPr>
        <w:t>www.lionfishcybersecurity.com</w:t>
      </w:r>
    </w:p>
    <w:p/>
    <w:p/>
    <w:p>
      <w:pPr>
        <w:jc w:val="center"/>
      </w:pPr>
      <w:r>
        <w:rPr>
          <w:color w:val="969696"/>
          <w:sz w:val="16"/>
        </w:rPr>
        <w:t>────────────────────────────────────────────────────────────</w:t>
      </w:r>
    </w:p>
    <w:p>
      <w:pPr>
        <w:jc w:val="center"/>
      </w:pPr>
      <w:r>
        <w:rPr>
          <w:color w:val="808080"/>
          <w:sz w:val="16"/>
        </w:rPr>
        <w:t>(This is not a Lionfish address) This institution is regulated by the Office for Career and Technical Schools</w:t>
        <w:br/>
        <w:t>10 N Senate Avenue, Suite SE 308, Indianapolis 46204 - OCTS@dwd.in.gov</w:t>
        <w:br/>
        <w:t>https://www.in.gov/dwd/2731.htm</w:t>
        <w:br/>
        <w:t>© Copyright 2026 Lionfish Cyber Security. All Rights Reserved.</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