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rPr>
          <w:b/>
          <w:color w:val="E8A33C"/>
          <w:sz w:val="48"/>
        </w:rPr>
        <w:t>CYBERSECURITY GRC PROFESSIONAL PROGRAM</w:t>
      </w:r>
    </w:p>
    <w:p>
      <w:pPr>
        <w:jc w:val="center"/>
      </w:pPr>
      <w:r>
        <w:rPr>
          <w:color w:val="646464"/>
          <w:sz w:val="28"/>
        </w:rPr>
        <w:t>High School Career Training • Indiana CSA Grant Approved</w:t>
      </w:r>
    </w:p>
    <w:p/>
    <w:p>
      <w:pPr>
        <w:jc w:val="center"/>
      </w:pPr>
      <w:r>
        <w:rPr>
          <w:b/>
        </w:rPr>
        <w:t>Launch Your Career in Governance, Risk, and Compliance</w:t>
      </w:r>
    </w:p>
    <w:p>
      <w:pPr>
        <w:jc w:val="both"/>
      </w:pPr>
      <w:r>
        <w:t>The Cybersecurity GRC Professional Program prepares high school students for rewarding careers in Governance, Risk, and Compliance. Through expert instruction and hands-on experience, students develop the skills employers demand while building a professional portfolio. This program is 100% funded through the Indiana Career Scholarship Account (CSA) grant—no cost to students or families.</w:t>
      </w:r>
    </w:p>
    <w:p/>
    <w:p>
      <w:pPr>
        <w:pStyle w:val="Heading1"/>
      </w:pPr>
      <w:r>
        <w:rPr>
          <w:color w:val="E8A33C"/>
        </w:rPr>
        <w:t>Program Highlights</w:t>
      </w:r>
    </w:p>
    <w:tbl>
      <w:tblPr>
        <w:tblW w:type="auto" w:w="0"/>
        <w:jc w:val="center"/>
        <w:tblLook w:firstColumn="1" w:firstRow="1" w:lastColumn="0" w:lastRow="0" w:noHBand="0" w:noVBand="1" w:val="04A0"/>
      </w:tblPr>
      <w:tblGrid>
        <w:gridCol w:w="2520"/>
        <w:gridCol w:w="2520"/>
        <w:gridCol w:w="2520"/>
        <w:gridCol w:w="2520"/>
      </w:tblGrid>
      <w:tr>
        <w:tc>
          <w:tcPr>
            <w:tcW w:type="dxa" w:w="2520"/>
            <w:shd w:fill="E8A33C"/>
          </w:tcPr>
          <w:p>
            <w:pPr>
              <w:jc w:val="center"/>
            </w:pPr>
            <w:r>
              <w:rPr>
                <w:b/>
                <w:color w:val="000000"/>
                <w:sz w:val="22"/>
              </w:rPr>
              <w:t>Professional Training</w:t>
            </w:r>
          </w:p>
        </w:tc>
        <w:tc>
          <w:tcPr>
            <w:tcW w:type="dxa" w:w="2520"/>
            <w:shd w:fill="E8A33C"/>
          </w:tcPr>
          <w:p>
            <w:pPr>
              <w:jc w:val="center"/>
            </w:pPr>
            <w:r>
              <w:rPr>
                <w:b/>
                <w:color w:val="000000"/>
                <w:sz w:val="22"/>
              </w:rPr>
              <w:t>80 Program Hours</w:t>
            </w:r>
          </w:p>
        </w:tc>
        <w:tc>
          <w:tcPr>
            <w:tcW w:type="dxa" w:w="2520"/>
            <w:shd w:fill="E8A33C"/>
          </w:tcPr>
          <w:p>
            <w:pPr>
              <w:jc w:val="center"/>
            </w:pPr>
            <w:r>
              <w:rPr>
                <w:b/>
                <w:color w:val="000000"/>
                <w:sz w:val="22"/>
              </w:rPr>
              <w:t>$5,000 CSA Grant</w:t>
            </w:r>
          </w:p>
        </w:tc>
        <w:tc>
          <w:tcPr>
            <w:tcW w:type="dxa" w:w="2520"/>
            <w:shd w:fill="E8A33C"/>
          </w:tcPr>
          <w:p>
            <w:pPr>
              <w:jc w:val="center"/>
            </w:pPr>
            <w:r>
              <w:rPr>
                <w:b/>
                <w:color w:val="000000"/>
                <w:sz w:val="22"/>
              </w:rPr>
              <w:t>24 Internship Hours</w:t>
            </w:r>
          </w:p>
        </w:tc>
      </w:tr>
      <w:tr>
        <w:tc>
          <w:tcPr>
            <w:tcW w:type="dxa" w:w="2520"/>
            <w:shd w:fill="F5F5F5"/>
          </w:tcPr>
          <w:p>
            <w:pPr>
              <w:jc w:val="center"/>
            </w:pPr>
            <w:r>
              <w:rPr>
                <w:sz w:val="18"/>
              </w:rPr>
              <w:t>Industry-standard GRC frameworks</w:t>
            </w:r>
          </w:p>
        </w:tc>
        <w:tc>
          <w:tcPr>
            <w:tcW w:type="dxa" w:w="2520"/>
            <w:shd w:fill="F5F5F5"/>
          </w:tcPr>
          <w:p>
            <w:pPr>
              <w:jc w:val="center"/>
            </w:pPr>
            <w:r>
              <w:rPr>
                <w:sz w:val="18"/>
              </w:rPr>
              <w:t>Intensive classroom instruction</w:t>
            </w:r>
          </w:p>
        </w:tc>
        <w:tc>
          <w:tcPr>
            <w:tcW w:type="dxa" w:w="2520"/>
            <w:shd w:fill="F5F5F5"/>
          </w:tcPr>
          <w:p>
            <w:pPr>
              <w:jc w:val="center"/>
            </w:pPr>
            <w:r>
              <w:rPr>
                <w:sz w:val="18"/>
              </w:rPr>
              <w:t>100% funded—no cost to you</w:t>
            </w:r>
          </w:p>
        </w:tc>
        <w:tc>
          <w:tcPr>
            <w:tcW w:type="dxa" w:w="2520"/>
            <w:shd w:fill="F5F5F5"/>
          </w:tcPr>
          <w:p>
            <w:pPr>
              <w:jc w:val="center"/>
            </w:pPr>
            <w:r>
              <w:rPr>
                <w:sz w:val="18"/>
              </w:rPr>
              <w:t>Real-world work experience</w:t>
            </w:r>
          </w:p>
        </w:tc>
      </w:tr>
    </w:tbl>
    <w:p/>
    <w:p>
      <w:pPr>
        <w:pStyle w:val="Heading1"/>
      </w:pPr>
      <w:r>
        <w:rPr>
          <w:color w:val="E8A33C"/>
        </w:rPr>
        <w:t>What You'll Learn</w:t>
      </w:r>
    </w:p>
    <w:p>
      <w:pPr>
        <w:pStyle w:val="ListBullet"/>
      </w:pPr>
      <w:r>
        <w:t>Governance frameworks and organizational best practices</w:t>
      </w:r>
    </w:p>
    <w:p>
      <w:pPr>
        <w:pStyle w:val="ListBullet"/>
      </w:pPr>
      <w:r>
        <w:t>Risk assessment, analysis, and management methodologies</w:t>
      </w:r>
    </w:p>
    <w:p>
      <w:pPr>
        <w:pStyle w:val="ListBullet"/>
      </w:pPr>
      <w:r>
        <w:t>Compliance program development and implementation</w:t>
      </w:r>
    </w:p>
    <w:p>
      <w:pPr>
        <w:pStyle w:val="ListBullet"/>
      </w:pPr>
      <w:r>
        <w:t>Security controls, policies, and procedures</w:t>
      </w:r>
    </w:p>
    <w:p>
      <w:pPr>
        <w:pStyle w:val="ListBullet"/>
      </w:pPr>
      <w:r>
        <w:t>Stakeholder communication and reporting</w:t>
      </w:r>
    </w:p>
    <w:p>
      <w:pPr>
        <w:pStyle w:val="ListBullet"/>
      </w:pPr>
      <w:r>
        <w:t>Audit preparation and evidence management</w:t>
      </w:r>
    </w:p>
    <w:p/>
    <w:p>
      <w:pPr>
        <w:pStyle w:val="Heading1"/>
      </w:pPr>
      <w:r>
        <w:rPr>
          <w:color w:val="E8A33C"/>
        </w:rPr>
        <w:t>Simulated Internship Experience</w:t>
      </w:r>
    </w:p>
    <w:p>
      <w:r>
        <w:t>Work as a junior GRC consultant at Hoosier Compliance Partners, tackling real-world challenges across three industry sectors:</w:t>
      </w:r>
    </w:p>
    <w:p>
      <w:pPr>
        <w:pStyle w:val="ListBullet"/>
      </w:pPr>
      <w:r>
        <w:rPr>
          <w:b/>
        </w:rPr>
        <w:t xml:space="preserve">City of Riverside (Local Government): </w:t>
      </w:r>
      <w:r>
        <w:t>Conduct GRC assessments and develop improvement roadmaps for municipal operations.</w:t>
      </w:r>
    </w:p>
    <w:p>
      <w:pPr>
        <w:pStyle w:val="ListBullet"/>
      </w:pPr>
      <w:r>
        <w:rPr>
          <w:b/>
        </w:rPr>
        <w:t xml:space="preserve">Indiana Valley Utilities (Critical Infrastructure): </w:t>
      </w:r>
      <w:r>
        <w:t>Develop risk management frameworks for water and electricity utilities.</w:t>
      </w:r>
    </w:p>
    <w:p>
      <w:pPr>
        <w:pStyle w:val="ListBullet"/>
      </w:pPr>
      <w:r>
        <w:rPr>
          <w:b/>
        </w:rPr>
        <w:t xml:space="preserve">Heartland Manufacturing (SMB): </w:t>
      </w:r>
      <w:r>
        <w:t>Create governance structures and compliance programs for a growing company.</w:t>
      </w:r>
    </w:p>
    <w:p/>
    <w:p>
      <w:pPr>
        <w:pStyle w:val="Heading1"/>
      </w:pPr>
      <w:r>
        <w:rPr>
          <w:color w:val="E8A33C"/>
        </w:rPr>
        <w:t>Career Outcomes</w:t>
      </w:r>
    </w:p>
    <w:p>
      <w:r>
        <w:t>GRC skills are in high demand across every industry. This training opens doors to rewarding careers with excellent growth potential:</w:t>
      </w:r>
    </w:p>
    <w:tbl>
      <w:tblPr>
        <w:tblW w:type="auto" w:w="0"/>
        <w:jc w:val="center"/>
        <w:tblLook w:firstColumn="1" w:firstRow="1" w:lastColumn="0" w:lastRow="0" w:noHBand="0" w:noVBand="1" w:val="04A0"/>
      </w:tblPr>
      <w:tblGrid>
        <w:gridCol w:w="5040"/>
        <w:gridCol w:w="5040"/>
      </w:tblGrid>
      <w:tr>
        <w:tc>
          <w:tcPr>
            <w:tcW w:type="dxa" w:w="5040"/>
          </w:tcPr>
          <w:p>
            <w:r>
              <w:rPr>
                <w:b/>
              </w:rPr>
              <w:t>Compliance Analyst</w:t>
            </w:r>
          </w:p>
        </w:tc>
        <w:tc>
          <w:tcPr>
            <w:tcW w:type="dxa" w:w="5040"/>
            <w:shd w:fill="F5F5F5"/>
          </w:tcPr>
          <w:p>
            <w:r>
              <w:t>$60,000 - $80,000</w:t>
            </w:r>
          </w:p>
        </w:tc>
      </w:tr>
      <w:tr>
        <w:tc>
          <w:tcPr>
            <w:tcW w:type="dxa" w:w="5040"/>
          </w:tcPr>
          <w:p>
            <w:r>
              <w:rPr>
                <w:b/>
              </w:rPr>
              <w:t>GRC Analyst</w:t>
            </w:r>
          </w:p>
        </w:tc>
        <w:tc>
          <w:tcPr>
            <w:tcW w:type="dxa" w:w="5040"/>
            <w:shd w:fill="F5F5F5"/>
          </w:tcPr>
          <w:p>
            <w:r>
              <w:t>$60,000 - $94,000</w:t>
            </w:r>
          </w:p>
        </w:tc>
      </w:tr>
      <w:tr>
        <w:tc>
          <w:tcPr>
            <w:tcW w:type="dxa" w:w="5040"/>
          </w:tcPr>
          <w:p>
            <w:r>
              <w:rPr>
                <w:b/>
              </w:rPr>
              <w:t>Risk Management Associate</w:t>
            </w:r>
          </w:p>
        </w:tc>
        <w:tc>
          <w:tcPr>
            <w:tcW w:type="dxa" w:w="5040"/>
            <w:shd w:fill="F5F5F5"/>
          </w:tcPr>
          <w:p>
            <w:r>
              <w:t>$58,000 - $78,000</w:t>
            </w:r>
          </w:p>
        </w:tc>
      </w:tr>
      <w:tr>
        <w:tc>
          <w:tcPr>
            <w:tcW w:type="dxa" w:w="5040"/>
          </w:tcPr>
          <w:p>
            <w:r>
              <w:rPr>
                <w:b/>
              </w:rPr>
              <w:t>IT Audit Assistant</w:t>
            </w:r>
          </w:p>
        </w:tc>
        <w:tc>
          <w:tcPr>
            <w:tcW w:type="dxa" w:w="5040"/>
            <w:shd w:fill="F5F5F5"/>
          </w:tcPr>
          <w:p>
            <w:r>
              <w:t>$55,000 - $75,000</w:t>
            </w:r>
          </w:p>
        </w:tc>
      </w:tr>
    </w:tbl>
    <w:p/>
    <w:p>
      <w:pPr>
        <w:pStyle w:val="Heading1"/>
      </w:pPr>
      <w:r>
        <w:rPr>
          <w:color w:val="E8A33C"/>
        </w:rPr>
        <w:t>Value Across All Career Fields</w:t>
      </w:r>
    </w:p>
    <w:p>
      <w:pPr>
        <w:jc w:val="both"/>
      </w:pPr>
      <w:r>
        <w:t>The skills you develop in this program are valuable across all career fields, not just technology. Every organization—from healthcare to finance, manufacturing to government, education to non-profits—needs professionals who understand governance, risk management, and compliance. Whether you pursue a career in business, law, healthcare administration, public service, or any other field, the ability to assess risks, ensure regulatory compliance, and implement effective controls will set you apart. This training provides a foundation that enhances any career path you choose.</w:t>
      </w:r>
    </w:p>
    <w:p/>
    <w:p>
      <w:pPr>
        <w:pStyle w:val="Heading1"/>
      </w:pPr>
      <w:r>
        <w:rPr>
          <w:color w:val="E8A33C"/>
        </w:rPr>
        <w:t>Program Details</w:t>
      </w:r>
    </w:p>
    <w:p>
      <w:r>
        <w:rPr>
          <w:b/>
        </w:rPr>
        <w:t xml:space="preserve">Schedule: </w:t>
      </w:r>
      <w:r>
        <w:t>Fall 2026 Semester • Monday, Wednesday, Friday • 1:00 PM - 3:00 PM</w:t>
      </w:r>
    </w:p>
    <w:p>
      <w:r>
        <w:rPr>
          <w:b/>
        </w:rPr>
        <w:t xml:space="preserve">Delivery: </w:t>
      </w:r>
      <w:r>
        <w:t>Virtual (Online)</w:t>
      </w:r>
    </w:p>
    <w:p>
      <w:r>
        <w:rPr>
          <w:b/>
        </w:rPr>
        <w:t xml:space="preserve">Duration: </w:t>
      </w:r>
      <w:r>
        <w:t>14 weeks (80 classroom hours + 24 internship hours)</w:t>
      </w:r>
    </w:p>
    <w:p>
      <w:r>
        <w:rPr>
          <w:b/>
        </w:rPr>
        <w:t xml:space="preserve">Cost: </w:t>
      </w:r>
      <w:r>
        <w:t>$0 — 100% funded through Indiana CSA Grant</w:t>
      </w:r>
    </w:p>
    <w:p>
      <w:r>
        <w:rPr>
          <w:b/>
        </w:rPr>
        <w:t xml:space="preserve">Eligibility: </w:t>
      </w:r>
      <w:r>
        <w:t>Indiana high school students</w:t>
      </w:r>
    </w:p>
    <w:p/>
    <w:p>
      <w:pPr>
        <w:pStyle w:val="Heading1"/>
      </w:pPr>
      <w:r>
        <w:rPr>
          <w:color w:val="E8A33C"/>
        </w:rPr>
        <w:t>CSA Grant Information</w:t>
      </w:r>
    </w:p>
    <w:p>
      <w:r>
        <w:rPr>
          <w:b/>
        </w:rPr>
        <w:t xml:space="preserve">IMPORTANT: </w:t>
      </w:r>
      <w:r>
        <w:t>CSA grant funds are limited and run out quickly each year. Enrollment opens March 1st and closes October 1st. We strongly encourage early application to secure your funding.</w:t>
      </w:r>
    </w:p>
    <w:p/>
    <w:p>
      <w:pPr>
        <w:pStyle w:val="Heading1"/>
      </w:pPr>
      <w:r>
        <w:rPr>
          <w:color w:val="E8A33C"/>
        </w:rPr>
        <w:t>Enroll Today</w:t>
      </w:r>
    </w:p>
    <w:p>
      <w:pPr>
        <w:jc w:val="center"/>
      </w:pPr>
      <w:r>
        <w:rPr>
          <w:b/>
        </w:rPr>
        <w:t>Lionfish Cyber Security</w:t>
        <w:br/>
      </w:r>
      <w:r>
        <w:t>3815 River Crossing Pkwy Suite 100</w:t>
        <w:br/>
      </w:r>
      <w:r>
        <w:t>Indianapolis, IN 46240</w:t>
        <w:br/>
      </w:r>
      <w:r>
        <w:t>Phone: 1-877-732-6772</w:t>
        <w:br/>
      </w:r>
      <w:r>
        <w:t>Email: info@lionfishcyber.com</w:t>
        <w:br/>
      </w:r>
      <w:r>
        <w:t>Website: lionfishcyber.com</w:t>
      </w:r>
    </w:p>
    <w:p/>
    <w:p/>
    <w:p>
      <w:pPr>
        <w:jc w:val="center"/>
      </w:pPr>
      <w:r>
        <w:rPr>
          <w:color w:val="808080"/>
          <w:sz w:val="16"/>
        </w:rPr>
        <w:t>(This is not a Lionfish address) This institution is regulated by the Office for Career and Technical Schools 10 N Senate Avenue, Suite SE 308, Indianapolis 46204 - OCTS@dwd.in.gov https://www.in.gov/dwd/2731.htm</w:t>
        <w:br/>
        <w:t>© Copyright 2026 Lionfish Cyber Security. All Rights Reserved.</w:t>
      </w:r>
    </w:p>
    <w:sectPr w:rsidR="00FC693F" w:rsidRPr="0006063C" w:rsidSect="00034616">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