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color w:val="E8A33C"/>
          <w:sz w:val="44"/>
        </w:rPr>
        <w:t>PARENT &amp; GUARDIAN INFORMATION PACKET</w:t>
      </w:r>
    </w:p>
    <w:p>
      <w:pPr>
        <w:jc w:val="center"/>
      </w:pPr>
      <w:r>
        <w:rPr>
          <w:color w:val="646464"/>
          <w:sz w:val="28"/>
        </w:rPr>
        <w:t>Cybersecurity GRC Professional Program</w:t>
        <w:br/>
        <w:t>High School Career Training</w:t>
      </w:r>
    </w:p>
    <w:p/>
    <w:p>
      <w:pPr>
        <w:pStyle w:val="Heading1"/>
      </w:pPr>
      <w:r>
        <w:rPr>
          <w:color w:val="E8A33C"/>
        </w:rPr>
        <w:t>Welcome</w:t>
      </w:r>
    </w:p>
    <w:p>
      <w:pPr>
        <w:jc w:val="both"/>
      </w:pPr>
      <w:r>
        <w:t>Dear Parent or Guardian,</w:t>
        <w:br/>
        <w:br/>
        <w:t>Thank you for your interest in the Cybersecurity GRC Professional Program. This packet provides comprehensive information about the program, including what your student will learn, the career opportunities available, and how the Indiana Career Scholarship Account (CSA) grant makes this training available at no cost to your family.</w:t>
        <w:br/>
        <w:br/>
        <w:t>We understand that choosing the right educational path for your child is an important decision. This program is designed to provide high school students with valuable, real-world skills that will serve them throughout their careers—regardless of the specific field they ultimately pursue.</w:t>
      </w:r>
    </w:p>
    <w:p/>
    <w:p>
      <w:pPr>
        <w:pStyle w:val="Heading1"/>
      </w:pPr>
      <w:r>
        <w:rPr>
          <w:color w:val="E8A33C"/>
        </w:rPr>
        <w:t>Program Overview</w:t>
      </w:r>
    </w:p>
    <w:p>
      <w:pPr>
        <w:jc w:val="both"/>
      </w:pPr>
      <w:r>
        <w:t>The Cybersecurity GRC Professional Program is a one-semester career training program that teaches high school students the fundamentals of Governance, Risk, and Compliance (GRC). GRC is a critical function in every organization, ensuring that businesses operate ethically, manage risks effectively, and comply with laws and regulations.</w:t>
        <w:br/>
        <w:br/>
        <w:t>Through a combination of classroom instruction and simulated internship experience, students develop practical skills that employers value. The program culminates in a professional portfolio that demonstrates their capabilities to future employers or college admissions committees.</w:t>
      </w:r>
    </w:p>
    <w:p/>
    <w:p>
      <w:pPr>
        <w:pStyle w:val="Heading1"/>
      </w:pPr>
      <w:r>
        <w:rPr>
          <w:color w:val="E8A33C"/>
        </w:rPr>
        <w:t>What is GRC?</w:t>
      </w:r>
    </w:p>
    <w:p>
      <w:r>
        <w:rPr>
          <w:b/>
        </w:rPr>
        <w:t>Governance, Risk, and Compliance (GRC)</w:t>
      </w:r>
      <w:r>
        <w:t xml:space="preserve"> is an integrated approach to managing an organization's overall governance, enterprise risk management, and compliance with regulations. In simpler terms:</w:t>
        <w:br/>
        <w:br/>
      </w:r>
    </w:p>
    <w:p>
      <w:pPr>
        <w:pStyle w:val="ListBullet"/>
      </w:pPr>
      <w:r>
        <w:rPr>
          <w:b/>
        </w:rPr>
        <w:t xml:space="preserve">Governance: </w:t>
      </w:r>
      <w:r>
        <w:t>How organizations are directed and controlled—setting policies, making decisions, and ensuring accountability.</w:t>
      </w:r>
    </w:p>
    <w:p>
      <w:pPr>
        <w:pStyle w:val="ListBullet"/>
      </w:pPr>
      <w:r>
        <w:rPr>
          <w:b/>
        </w:rPr>
        <w:t xml:space="preserve">Risk Management: </w:t>
      </w:r>
      <w:r>
        <w:t>Identifying, assessing, and mitigating threats that could harm the organization—from cybersecurity breaches to financial losses.</w:t>
      </w:r>
    </w:p>
    <w:p>
      <w:pPr>
        <w:pStyle w:val="ListBullet"/>
      </w:pPr>
      <w:r>
        <w:rPr>
          <w:b/>
        </w:rPr>
        <w:t xml:space="preserve">Compliance: </w:t>
      </w:r>
      <w:r>
        <w:t>Ensuring the organization follows all applicable laws, regulations, and industry standards.</w:t>
      </w:r>
    </w:p>
    <w:p/>
    <w:p>
      <w:pPr>
        <w:pStyle w:val="Heading1"/>
      </w:pPr>
      <w:r>
        <w:rPr>
          <w:color w:val="E8A33C"/>
        </w:rPr>
        <w:t>Program Structure</w:t>
      </w:r>
    </w:p>
    <w:tbl>
      <w:tblPr>
        <w:tblW w:type="auto" w:w="0"/>
        <w:jc w:val="center"/>
        <w:tblLook w:firstColumn="1" w:firstRow="1" w:lastColumn="0" w:lastRow="0" w:noHBand="0" w:noVBand="1" w:val="04A0"/>
      </w:tblPr>
      <w:tblGrid>
        <w:gridCol w:w="4680"/>
        <w:gridCol w:w="4680"/>
      </w:tblGrid>
      <w:tr>
        <w:tc>
          <w:tcPr>
            <w:tcW w:type="dxa" w:w="4680"/>
            <w:shd w:fill="E8A33C"/>
          </w:tcPr>
          <w:p>
            <w:r>
              <w:rPr>
                <w:b/>
                <w:color w:val="000000"/>
              </w:rPr>
              <w:t>Duration</w:t>
            </w:r>
          </w:p>
        </w:tc>
        <w:tc>
          <w:tcPr>
            <w:tcW w:type="dxa" w:w="4680"/>
          </w:tcPr>
          <w:p>
            <w:r>
              <w:t>14 weeks (one semester)</w:t>
            </w:r>
          </w:p>
        </w:tc>
      </w:tr>
      <w:tr>
        <w:tc>
          <w:tcPr>
            <w:tcW w:type="dxa" w:w="4680"/>
            <w:shd w:fill="E8A33C"/>
          </w:tcPr>
          <w:p>
            <w:r>
              <w:rPr>
                <w:b/>
                <w:color w:val="000000"/>
              </w:rPr>
              <w:t>Schedule</w:t>
            </w:r>
          </w:p>
        </w:tc>
        <w:tc>
          <w:tcPr>
            <w:tcW w:type="dxa" w:w="4680"/>
          </w:tcPr>
          <w:p>
            <w:r>
              <w:t>Monday, Wednesday, Friday • 1:00 PM - 3:00 PM</w:t>
            </w:r>
          </w:p>
        </w:tc>
      </w:tr>
      <w:tr>
        <w:tc>
          <w:tcPr>
            <w:tcW w:type="dxa" w:w="4680"/>
            <w:shd w:fill="E8A33C"/>
          </w:tcPr>
          <w:p>
            <w:r>
              <w:rPr>
                <w:b/>
                <w:color w:val="000000"/>
              </w:rPr>
              <w:t>Delivery</w:t>
            </w:r>
          </w:p>
        </w:tc>
        <w:tc>
          <w:tcPr>
            <w:tcW w:type="dxa" w:w="4680"/>
          </w:tcPr>
          <w:p>
            <w:r>
              <w:t>Virtual (online)</w:t>
            </w:r>
          </w:p>
        </w:tc>
      </w:tr>
      <w:tr>
        <w:tc>
          <w:tcPr>
            <w:tcW w:type="dxa" w:w="4680"/>
            <w:shd w:fill="E8A33C"/>
          </w:tcPr>
          <w:p>
            <w:r>
              <w:rPr>
                <w:b/>
                <w:color w:val="000000"/>
              </w:rPr>
              <w:t>Classroom Hours</w:t>
            </w:r>
          </w:p>
        </w:tc>
        <w:tc>
          <w:tcPr>
            <w:tcW w:type="dxa" w:w="4680"/>
          </w:tcPr>
          <w:p>
            <w:r>
              <w:t>80 hours</w:t>
            </w:r>
          </w:p>
        </w:tc>
      </w:tr>
      <w:tr>
        <w:tc>
          <w:tcPr>
            <w:tcW w:type="dxa" w:w="4680"/>
            <w:shd w:fill="E8A33C"/>
          </w:tcPr>
          <w:p>
            <w:r>
              <w:rPr>
                <w:b/>
                <w:color w:val="000000"/>
              </w:rPr>
              <w:t>Internship Hours</w:t>
            </w:r>
          </w:p>
        </w:tc>
        <w:tc>
          <w:tcPr>
            <w:tcW w:type="dxa" w:w="4680"/>
          </w:tcPr>
          <w:p>
            <w:r>
              <w:t>24 hours (simulated)</w:t>
            </w:r>
          </w:p>
        </w:tc>
      </w:tr>
      <w:tr>
        <w:tc>
          <w:tcPr>
            <w:tcW w:type="dxa" w:w="4680"/>
            <w:shd w:fill="E8A33C"/>
          </w:tcPr>
          <w:p>
            <w:r>
              <w:rPr>
                <w:b/>
                <w:color w:val="000000"/>
              </w:rPr>
              <w:t>Total Program Hours</w:t>
            </w:r>
          </w:p>
        </w:tc>
        <w:tc>
          <w:tcPr>
            <w:tcW w:type="dxa" w:w="4680"/>
          </w:tcPr>
          <w:p>
            <w:r>
              <w:t>104 hours</w:t>
            </w:r>
          </w:p>
        </w:tc>
      </w:tr>
    </w:tbl>
    <w:p/>
    <w:p>
      <w:pPr>
        <w:pStyle w:val="Heading1"/>
      </w:pPr>
      <w:r>
        <w:rPr>
          <w:color w:val="E8A33C"/>
        </w:rPr>
        <w:t>Curriculum Overview</w:t>
      </w:r>
    </w:p>
    <w:p>
      <w:r>
        <w:t>The curriculum is structured to build knowledge progressively:</w:t>
        <w:br/>
      </w:r>
    </w:p>
    <w:p>
      <w:pPr>
        <w:pStyle w:val="ListBullet"/>
      </w:pPr>
      <w:r>
        <w:rPr>
          <w:b/>
        </w:rPr>
        <w:t xml:space="preserve">Weeks 1-2: GRC Foundations — </w:t>
      </w:r>
      <w:r>
        <w:t>Introduction to governance, risk, and compliance concepts; GRC frameworks and standards.</w:t>
      </w:r>
    </w:p>
    <w:p>
      <w:pPr>
        <w:pStyle w:val="ListBullet"/>
      </w:pPr>
      <w:r>
        <w:rPr>
          <w:b/>
        </w:rPr>
        <w:t xml:space="preserve">Weeks 3-4: Governance &amp; Strategy — </w:t>
      </w:r>
      <w:r>
        <w:t>External context analysis, stakeholder identification, objective setting.</w:t>
      </w:r>
    </w:p>
    <w:p>
      <w:pPr>
        <w:pStyle w:val="ListBullet"/>
      </w:pPr>
      <w:r>
        <w:rPr>
          <w:b/>
        </w:rPr>
        <w:t xml:space="preserve">Weeks 5-6: Risk &amp; Compliance — </w:t>
      </w:r>
      <w:r>
        <w:t>Controls and policies, risk assessment methodologies, compliance program management.</w:t>
      </w:r>
    </w:p>
    <w:p>
      <w:pPr>
        <w:pStyle w:val="ListBullet"/>
      </w:pPr>
      <w:r>
        <w:rPr>
          <w:b/>
        </w:rPr>
        <w:t xml:space="preserve">Week 7: Monitoring &amp; Ethics — </w:t>
      </w:r>
      <w:r>
        <w:t>Monitoring and assurance, professional ethics, continuous improvement.</w:t>
      </w:r>
    </w:p>
    <w:p>
      <w:pPr>
        <w:pStyle w:val="ListBullet"/>
      </w:pPr>
      <w:r>
        <w:rPr>
          <w:b/>
        </w:rPr>
        <w:t xml:space="preserve">Weeks 8-9: Applied GRC Skills — </w:t>
      </w:r>
      <w:r>
        <w:t>Documentation and evidence, reporting and communication, stakeholder management.</w:t>
      </w:r>
    </w:p>
    <w:p>
      <w:pPr>
        <w:pStyle w:val="ListBullet"/>
      </w:pPr>
      <w:r>
        <w:rPr>
          <w:b/>
        </w:rPr>
        <w:t xml:space="preserve">Week 10: Capstone Project — </w:t>
      </w:r>
      <w:r>
        <w:t>Final assessment, portfolio development, career preparation.</w:t>
      </w:r>
    </w:p>
    <w:p/>
    <w:p>
      <w:pPr>
        <w:pStyle w:val="Heading1"/>
      </w:pPr>
      <w:r>
        <w:rPr>
          <w:color w:val="E8A33C"/>
        </w:rPr>
        <w:t>Simulated Internship Experience</w:t>
      </w:r>
    </w:p>
    <w:p>
      <w:r>
        <w:t>A key component of the program is the simulated internship, where students work as junior GRC consultants at a fictional company called Hoosier Compliance Partners. This experience provides hands-on practice with real-world scenarios across three industry sectors:</w:t>
        <w:br/>
      </w:r>
    </w:p>
    <w:p>
      <w:pPr>
        <w:pStyle w:val="ListBullet"/>
      </w:pPr>
      <w:r>
        <w:rPr>
          <w:b/>
        </w:rPr>
        <w:t xml:space="preserve">Local Government (City of Riverside): </w:t>
      </w:r>
      <w:r>
        <w:t>Students conduct GRC assessments and develop improvement roadmaps for municipal operations, learning how government agencies manage public trust and regulatory requirements.</w:t>
      </w:r>
    </w:p>
    <w:p>
      <w:pPr>
        <w:pStyle w:val="ListBullet"/>
      </w:pPr>
      <w:r>
        <w:rPr>
          <w:b/>
        </w:rPr>
        <w:t xml:space="preserve">Critical Infrastructure (Indiana Valley Utilities): </w:t>
      </w:r>
      <w:r>
        <w:t>Students develop risk management frameworks for water and electricity utilities, understanding the unique compliance challenges of essential services.</w:t>
      </w:r>
    </w:p>
    <w:p>
      <w:pPr>
        <w:pStyle w:val="ListBullet"/>
      </w:pPr>
      <w:r>
        <w:rPr>
          <w:b/>
        </w:rPr>
        <w:t xml:space="preserve">Small-Medium Business (Heartland Manufacturing): </w:t>
      </w:r>
      <w:r>
        <w:t>Students create governance structures and compliance programs for a growing company, learning how businesses of all sizes manage risk.</w:t>
      </w:r>
    </w:p>
    <w:p>
      <w:r>
        <w:br/>
        <w:t>Through these scenarios, students build a professional portfolio of GRC deliverables that they can showcase to future employers or include in college applications.</w:t>
      </w:r>
    </w:p>
    <w:p/>
    <w:p>
      <w:pPr>
        <w:pStyle w:val="Heading1"/>
      </w:pPr>
      <w:r>
        <w:rPr>
          <w:color w:val="E8A33C"/>
        </w:rPr>
        <w:t>Career Opportunities</w:t>
      </w:r>
    </w:p>
    <w:p>
      <w:r>
        <w:t>GRC skills are in high demand across every industry. According to the Bureau of Labor Statistics, compliance-related occupations are growing steadily, with a median salary of $90,274 for Compliance Analysts. Entry-level positions typically start between $50,000 and $65,000.</w:t>
        <w:br/>
        <w:br/>
        <w:t>Career paths available to program graduates include:</w:t>
        <w:br/>
      </w:r>
    </w:p>
    <w:tbl>
      <w:tblPr>
        <w:tblW w:type="auto" w:w="0"/>
        <w:jc w:val="center"/>
        <w:tblLook w:firstColumn="1" w:firstRow="1" w:lastColumn="0" w:lastRow="0" w:noHBand="0" w:noVBand="1" w:val="04A0"/>
      </w:tblPr>
      <w:tblGrid>
        <w:gridCol w:w="4680"/>
        <w:gridCol w:w="4680"/>
      </w:tblGrid>
      <w:tr>
        <w:tc>
          <w:tcPr>
            <w:tcW w:type="dxa" w:w="4680"/>
            <w:shd w:fill="E8A33C"/>
          </w:tcPr>
          <w:p>
            <w:r>
              <w:rPr>
                <w:b/>
                <w:color w:val="000000"/>
              </w:rPr>
              <w:t>Position</w:t>
            </w:r>
          </w:p>
        </w:tc>
        <w:tc>
          <w:tcPr>
            <w:tcW w:type="dxa" w:w="4680"/>
            <w:shd w:fill="E8A33C"/>
          </w:tcPr>
          <w:p>
            <w:r>
              <w:rPr>
                <w:b/>
                <w:color w:val="000000"/>
              </w:rPr>
              <w:t>Salary Range</w:t>
            </w:r>
          </w:p>
        </w:tc>
      </w:tr>
      <w:tr>
        <w:tc>
          <w:tcPr>
            <w:tcW w:type="dxa" w:w="4680"/>
          </w:tcPr>
          <w:p>
            <w:r>
              <w:t>Compliance Analyst</w:t>
            </w:r>
          </w:p>
        </w:tc>
        <w:tc>
          <w:tcPr>
            <w:tcW w:type="dxa" w:w="4680"/>
          </w:tcPr>
          <w:p>
            <w:r>
              <w:t>$60,000 - $80,000</w:t>
            </w:r>
          </w:p>
        </w:tc>
      </w:tr>
      <w:tr>
        <w:tc>
          <w:tcPr>
            <w:tcW w:type="dxa" w:w="4680"/>
          </w:tcPr>
          <w:p>
            <w:r>
              <w:t>GRC Analyst</w:t>
            </w:r>
          </w:p>
        </w:tc>
        <w:tc>
          <w:tcPr>
            <w:tcW w:type="dxa" w:w="4680"/>
          </w:tcPr>
          <w:p>
            <w:r>
              <w:t>$60,000 - $94,000</w:t>
            </w:r>
          </w:p>
        </w:tc>
      </w:tr>
      <w:tr>
        <w:tc>
          <w:tcPr>
            <w:tcW w:type="dxa" w:w="4680"/>
          </w:tcPr>
          <w:p>
            <w:r>
              <w:t>Risk Management Associate</w:t>
            </w:r>
          </w:p>
        </w:tc>
        <w:tc>
          <w:tcPr>
            <w:tcW w:type="dxa" w:w="4680"/>
          </w:tcPr>
          <w:p>
            <w:r>
              <w:t>$58,000 - $78,000</w:t>
            </w:r>
          </w:p>
        </w:tc>
      </w:tr>
      <w:tr>
        <w:tc>
          <w:tcPr>
            <w:tcW w:type="dxa" w:w="4680"/>
          </w:tcPr>
          <w:p>
            <w:r>
              <w:t>IT Audit Assistant</w:t>
            </w:r>
          </w:p>
        </w:tc>
        <w:tc>
          <w:tcPr>
            <w:tcW w:type="dxa" w:w="4680"/>
          </w:tcPr>
          <w:p>
            <w:r>
              <w:t>$55,000 - $75,000</w:t>
            </w:r>
          </w:p>
        </w:tc>
      </w:tr>
      <w:tr>
        <w:tc>
          <w:tcPr>
            <w:tcW w:type="dxa" w:w="4680"/>
          </w:tcPr>
          <w:p>
            <w:r>
              <w:t>Junior Compliance Coordinator</w:t>
            </w:r>
          </w:p>
        </w:tc>
        <w:tc>
          <w:tcPr>
            <w:tcW w:type="dxa" w:w="4680"/>
          </w:tcPr>
          <w:p>
            <w:r>
              <w:t>$50,000 - $65,000</w:t>
            </w:r>
          </w:p>
        </w:tc>
      </w:tr>
      <w:tr>
        <w:tc>
          <w:tcPr>
            <w:tcW w:type="dxa" w:w="4680"/>
          </w:tcPr>
          <w:p>
            <w:r>
              <w:t>Governance Specialist</w:t>
            </w:r>
          </w:p>
        </w:tc>
        <w:tc>
          <w:tcPr>
            <w:tcW w:type="dxa" w:w="4680"/>
          </w:tcPr>
          <w:p>
            <w:r>
              <w:t>$65,000 - $85,000</w:t>
            </w:r>
          </w:p>
        </w:tc>
      </w:tr>
    </w:tbl>
    <w:p/>
    <w:p>
      <w:pPr>
        <w:pStyle w:val="Heading1"/>
      </w:pPr>
      <w:r>
        <w:rPr>
          <w:color w:val="E8A33C"/>
        </w:rPr>
        <w:t>Value Across All Career Fields</w:t>
      </w:r>
    </w:p>
    <w:p>
      <w:pPr>
        <w:jc w:val="both"/>
      </w:pPr>
      <w:r>
        <w:t>The skills developed in this program are valuable across all career fields, not just technology or cybersecurity. Every organization—from healthcare to finance, manufacturing to government, education to non-profits—needs professionals who understand governance, risk management, and compliance.</w:t>
        <w:br/>
        <w:br/>
        <w:t>Whether your student pursues a career in business, law, healthcare administration, public service, or any other field, the ability to assess risks, ensure regulatory compliance, and implement effective controls will set them apart. This training provides a foundation that enhances any career path they choose.</w:t>
        <w:br/>
        <w:br/>
        <w:t>Even students who ultimately pursue careers outside of GRC will benefit from understanding how organizations manage risk and maintain compliance—skills that are valuable for managers, entrepreneurs, and leaders in every field.</w:t>
      </w:r>
    </w:p>
    <w:p/>
    <w:p>
      <w:pPr>
        <w:pStyle w:val="Heading1"/>
      </w:pPr>
      <w:r>
        <w:rPr>
          <w:color w:val="E8A33C"/>
        </w:rPr>
        <w:t>Indiana CSA Grant Information</w:t>
      </w:r>
    </w:p>
    <w:p>
      <w:r>
        <w:t>The Indiana Career Scholarship Account (CSA) is a state program that provides funding for high school students to participate in approved career training programs. The CSA grant covers the full cost of this program—</w:t>
      </w:r>
      <w:r>
        <w:rPr>
          <w:b/>
        </w:rPr>
        <w:t>$5,000 per student</w:t>
      </w:r>
      <w:r>
        <w:t>—meaning there is no cost to you or your family.</w:t>
        <w:br/>
        <w:br/>
      </w:r>
      <w:r>
        <w:rPr>
          <w:b/>
        </w:rPr>
        <w:t>Key CSA Information:</w:t>
        <w:br/>
      </w:r>
    </w:p>
    <w:p>
      <w:pPr>
        <w:pStyle w:val="ListBullet"/>
      </w:pPr>
      <w:r>
        <w:t>Grant Amount: $5,000 per student</w:t>
      </w:r>
    </w:p>
    <w:p>
      <w:pPr>
        <w:pStyle w:val="ListBullet"/>
      </w:pPr>
      <w:r>
        <w:t>Enrollment Window: March 1 - October 1, 2026</w:t>
      </w:r>
    </w:p>
    <w:p>
      <w:pPr>
        <w:pStyle w:val="ListBullet"/>
      </w:pPr>
      <w:r>
        <w:t>Funding Disbursements: September 1, November 3, January 5, March 2</w:t>
      </w:r>
    </w:p>
    <w:p>
      <w:pPr>
        <w:pStyle w:val="ListBullet"/>
      </w:pPr>
      <w:r>
        <w:t>Eligibility: Indiana high school students</w:t>
      </w:r>
    </w:p>
    <w:p>
      <w:r>
        <w:rPr>
          <w:b/>
        </w:rPr>
        <w:br/>
        <w:t xml:space="preserve">⚠️ IMPORTANT: </w:t>
      </w:r>
      <w:r>
        <w:t>CSA grant funds are limited and run out quickly each year. We strongly encourage early application to secure your student's funding. Don't wait until the last minute—students who enroll early have the best chance of securing their CSA funding before it's exhausted.</w:t>
      </w:r>
    </w:p>
    <w:p/>
    <w:p>
      <w:pPr>
        <w:pStyle w:val="Heading1"/>
      </w:pPr>
      <w:r>
        <w:rPr>
          <w:color w:val="E8A33C"/>
        </w:rPr>
        <w:t>Benefits for Your Student</w:t>
      </w:r>
    </w:p>
    <w:p>
      <w:pPr>
        <w:pStyle w:val="ListBullet"/>
      </w:pPr>
      <w:r>
        <w:t>Earn professional GRC credentials before graduation</w:t>
      </w:r>
    </w:p>
    <w:p>
      <w:pPr>
        <w:pStyle w:val="ListBullet"/>
      </w:pPr>
      <w:r>
        <w:t>Build a portfolio of real GRC projects</w:t>
      </w:r>
    </w:p>
    <w:p>
      <w:pPr>
        <w:pStyle w:val="ListBullet"/>
      </w:pPr>
      <w:r>
        <w:t>Gain hands-on experience with industry frameworks</w:t>
      </w:r>
    </w:p>
    <w:p>
      <w:pPr>
        <w:pStyle w:val="ListBullet"/>
      </w:pPr>
      <w:r>
        <w:t>Stand out in college applications</w:t>
      </w:r>
    </w:p>
    <w:p>
      <w:pPr>
        <w:pStyle w:val="ListBullet"/>
      </w:pPr>
      <w:r>
        <w:t>Access to high-demand career paths</w:t>
      </w:r>
    </w:p>
    <w:p>
      <w:pPr>
        <w:pStyle w:val="ListBullet"/>
      </w:pPr>
      <w:r>
        <w:t>Develop transferable skills applicable to any industry</w:t>
      </w:r>
    </w:p>
    <w:p>
      <w:pPr>
        <w:pStyle w:val="ListBullet"/>
      </w:pPr>
      <w:r>
        <w:t>Learn from experienced cybersecurity professionals</w:t>
      </w:r>
    </w:p>
    <w:p>
      <w:pPr>
        <w:pStyle w:val="ListBullet"/>
      </w:pPr>
      <w:r>
        <w:t>Network with industry mentors</w:t>
      </w:r>
    </w:p>
    <w:p/>
    <w:p>
      <w:pPr>
        <w:pStyle w:val="Heading1"/>
      </w:pPr>
      <w:r>
        <w:rPr>
          <w:color w:val="E8A33C"/>
        </w:rPr>
        <w:t>Frequently Asked Questions</w:t>
      </w:r>
    </w:p>
    <w:p>
      <w:r>
        <w:rPr>
          <w:b/>
        </w:rPr>
        <w:t>Q: Is there any cost to participate?</w:t>
      </w:r>
    </w:p>
    <w:p>
      <w:pPr>
        <w:ind w:left="360"/>
      </w:pPr>
      <w:r>
        <w:t>A: No. The program is 100% funded through the Indiana CSA grant. There are no tuition fees, material costs, or hidden charges.</w:t>
      </w:r>
    </w:p>
    <w:p>
      <w:r>
        <w:rPr>
          <w:b/>
        </w:rPr>
        <w:t>Q: Does my student need prior experience?</w:t>
      </w:r>
    </w:p>
    <w:p>
      <w:pPr>
        <w:ind w:left="360"/>
      </w:pPr>
      <w:r>
        <w:t>A: No prior experience is required. The program is designed for beginners and builds knowledge progressively from foundational concepts.</w:t>
      </w:r>
    </w:p>
    <w:p>
      <w:r>
        <w:rPr>
          <w:b/>
        </w:rPr>
        <w:t>Q: How will this affect my student's regular school schedule?</w:t>
      </w:r>
    </w:p>
    <w:p>
      <w:pPr>
        <w:ind w:left="360"/>
      </w:pPr>
      <w:r>
        <w:t>A: The program is delivered virtually from 1:00 PM to 3:00 PM on Monday, Wednesday, and Friday. Students should coordinate with their school counselor to ensure the schedule works with their existing classes.</w:t>
      </w:r>
    </w:p>
    <w:p>
      <w:r>
        <w:rPr>
          <w:b/>
        </w:rPr>
        <w:t>Q: What technology does my student need?</w:t>
      </w:r>
    </w:p>
    <w:p>
      <w:pPr>
        <w:ind w:left="360"/>
      </w:pPr>
      <w:r>
        <w:t>A: Students need a computer with internet access, a webcam, and a microphone. A quiet space for virtual learning is also recommended.</w:t>
      </w:r>
    </w:p>
    <w:p>
      <w:r>
        <w:rPr>
          <w:b/>
        </w:rPr>
        <w:t>Q: Will this help with college applications?</w:t>
      </w:r>
    </w:p>
    <w:p>
      <w:pPr>
        <w:ind w:left="360"/>
      </w:pPr>
      <w:r>
        <w:t>A: Yes! Completing a professional training program and earning credentials demonstrates initiative, career focus, and practical skills that college admissions committees value.</w:t>
      </w:r>
    </w:p>
    <w:p>
      <w:r>
        <w:rPr>
          <w:b/>
        </w:rPr>
        <w:t>Q: What if my student decides GRC isn't for them?</w:t>
      </w:r>
    </w:p>
    <w:p>
      <w:pPr>
        <w:ind w:left="360"/>
      </w:pPr>
      <w:r>
        <w:t>A: The skills learned in this program—risk assessment, policy development, communication, and analytical thinking—are valuable in any career. Even if your student pursues a different path, this training will serve them well.</w:t>
      </w:r>
    </w:p>
    <w:p/>
    <w:p>
      <w:pPr>
        <w:pStyle w:val="Heading1"/>
      </w:pPr>
      <w:r>
        <w:rPr>
          <w:color w:val="E8A33C"/>
        </w:rPr>
        <w:t>Contact Us</w:t>
      </w:r>
    </w:p>
    <w:p>
      <w:r>
        <w:t>We're here to answer any questions you may have about the program. Please don't hesitate to reach out:</w:t>
        <w:br/>
        <w:br/>
      </w:r>
    </w:p>
    <w:p>
      <w:r>
        <w:rPr>
          <w:b/>
        </w:rPr>
        <w:t>Lionfish Cyber Security</w:t>
        <w:br/>
      </w:r>
      <w:r>
        <w:t>3815 River Crossing Pkwy Suite 100</w:t>
        <w:br/>
      </w:r>
      <w:r>
        <w:t>Indianapolis, IN 46240</w:t>
        <w:br/>
        <w:br/>
      </w:r>
      <w:r>
        <w:rPr>
          <w:b/>
        </w:rPr>
        <w:t xml:space="preserve">Phone: </w:t>
      </w:r>
      <w:r>
        <w:t>1-877-732-6772</w:t>
        <w:br/>
      </w:r>
      <w:r>
        <w:rPr>
          <w:b/>
        </w:rPr>
        <w:t xml:space="preserve">Email: </w:t>
      </w:r>
      <w:r>
        <w:t>info@lionfishcyber.com</w:t>
        <w:br/>
      </w:r>
      <w:r>
        <w:rPr>
          <w:b/>
        </w:rPr>
        <w:t xml:space="preserve">Website: </w:t>
      </w:r>
      <w:r>
        <w:t>lionfishcyber.com</w:t>
      </w:r>
    </w:p>
    <w:p/>
    <w:p/>
    <w:p>
      <w:pPr>
        <w:jc w:val="center"/>
      </w:pPr>
      <w:r>
        <w:rPr>
          <w:color w:val="808080"/>
          <w:sz w:val="16"/>
        </w:rPr>
        <w:t>(This is not a Lionfish address) This institution is regulated by the Office for Career and Technical Schools 10 N Senate Avenue, Suite SE 308, Indianapolis 46204 - OCTS@dwd.in.gov https://www.in.gov/dwd/2731.htm</w:t>
        <w:br/>
        <w:t>© Copyright 2026 Lionfish Cyber Security. All Rights Reserved.</w:t>
      </w:r>
    </w:p>
    <w:sectPr w:rsidR="00FC693F" w:rsidRPr="0006063C" w:rsidSect="0003461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